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1643E" w14:textId="77777777" w:rsidR="00332678" w:rsidRDefault="006132AE" w:rsidP="006132AE">
      <w:pPr>
        <w:ind w:left="-709"/>
      </w:pPr>
      <w:r>
        <w:rPr>
          <w:noProof/>
          <w:lang w:eastAsia="fr-FR"/>
        </w:rPr>
        <w:drawing>
          <wp:inline distT="0" distB="0" distL="0" distR="0" wp14:anchorId="2DC17509" wp14:editId="71B3AA71">
            <wp:extent cx="1586694" cy="11334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tours-logo-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1384" cy="1151113"/>
                    </a:xfrm>
                    <a:prstGeom prst="rect">
                      <a:avLst/>
                    </a:prstGeom>
                  </pic:spPr>
                </pic:pic>
              </a:graphicData>
            </a:graphic>
          </wp:inline>
        </w:drawing>
      </w:r>
      <w:r w:rsidR="009E4734">
        <w:tab/>
        <w:t xml:space="preserve">   </w:t>
      </w:r>
    </w:p>
    <w:p w14:paraId="41BF52E6" w14:textId="77777777" w:rsidR="006C4CDE" w:rsidRDefault="002D5692" w:rsidP="006C4CDE">
      <w:pPr>
        <w:pStyle w:val="Titre"/>
        <w:ind w:left="2520"/>
        <w:jc w:val="center"/>
      </w:pPr>
      <w:r w:rsidRPr="0095419A">
        <w:t xml:space="preserve">Conditions Générales </w:t>
      </w:r>
    </w:p>
    <w:p w14:paraId="63DC1A1F" w14:textId="77777777" w:rsidR="002D5692" w:rsidRDefault="002D5692" w:rsidP="006C4CDE">
      <w:pPr>
        <w:pStyle w:val="Titre"/>
        <w:ind w:left="2520"/>
        <w:jc w:val="center"/>
      </w:pPr>
      <w:r w:rsidRPr="0095419A">
        <w:t>de Vente</w:t>
      </w:r>
      <w:r w:rsidR="00BE7227">
        <w:t xml:space="preserve"> </w:t>
      </w:r>
      <w:r w:rsidR="006C4CDE">
        <w:t>des c</w:t>
      </w:r>
      <w:r w:rsidR="00BE7227">
        <w:t>olloques Université de Tours</w:t>
      </w:r>
    </w:p>
    <w:p w14:paraId="0DE2F107" w14:textId="77777777" w:rsidR="00F873F5" w:rsidRDefault="00F873F5" w:rsidP="00F873F5"/>
    <w:p w14:paraId="5645643F" w14:textId="77777777" w:rsidR="00F873F5" w:rsidRDefault="00F873F5" w:rsidP="00F873F5"/>
    <w:p w14:paraId="3F23A266" w14:textId="77777777" w:rsidR="00F873F5" w:rsidRDefault="00F873F5" w:rsidP="00F873F5"/>
    <w:p w14:paraId="5519F0E7" w14:textId="77777777" w:rsidR="00F873F5" w:rsidRDefault="00F873F5" w:rsidP="00F873F5"/>
    <w:p w14:paraId="5F3BC38E" w14:textId="77777777" w:rsidR="00F873F5" w:rsidRDefault="00F873F5" w:rsidP="00F873F5">
      <w:pPr>
        <w:pStyle w:val="Titre1"/>
        <w:ind w:left="2520"/>
      </w:pPr>
      <w:bookmarkStart w:id="0" w:name="_Toc492477133"/>
      <w:r>
        <w:t>SOMMAIRE</w:t>
      </w:r>
      <w:bookmarkEnd w:id="0"/>
    </w:p>
    <w:p w14:paraId="12C9FF2C" w14:textId="77777777" w:rsidR="00F873F5" w:rsidRPr="00F873F5" w:rsidRDefault="00F873F5" w:rsidP="00F873F5"/>
    <w:p w14:paraId="6A4EF3A1" w14:textId="77777777" w:rsidR="006F4251" w:rsidRPr="006132AE" w:rsidRDefault="00332678">
      <w:pPr>
        <w:pStyle w:val="TM1"/>
        <w:rPr>
          <w:noProof/>
        </w:rPr>
      </w:pPr>
      <w:r>
        <w:fldChar w:fldCharType="begin"/>
      </w:r>
      <w:r>
        <w:instrText xml:space="preserve"> TOC \o "1-3" \h \z \u </w:instrText>
      </w:r>
      <w:r>
        <w:fldChar w:fldCharType="separate"/>
      </w:r>
      <w:hyperlink w:anchor="_Toc492477133" w:history="1">
        <w:r w:rsidR="006F4251" w:rsidRPr="006132AE">
          <w:rPr>
            <w:rStyle w:val="Lienhypertexte"/>
            <w:noProof/>
          </w:rPr>
          <w:t>SOMMAIRE</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_Toc492477133 \h </w:instrText>
        </w:r>
        <w:r w:rsidR="006F4251" w:rsidRPr="006132AE">
          <w:rPr>
            <w:noProof/>
            <w:webHidden/>
          </w:rPr>
        </w:r>
        <w:r w:rsidR="006F4251" w:rsidRPr="006132AE">
          <w:rPr>
            <w:noProof/>
            <w:webHidden/>
          </w:rPr>
          <w:fldChar w:fldCharType="separate"/>
        </w:r>
        <w:r w:rsidR="006F4251" w:rsidRPr="006132AE">
          <w:rPr>
            <w:noProof/>
            <w:webHidden/>
          </w:rPr>
          <w:t>1</w:t>
        </w:r>
        <w:r w:rsidR="006F4251" w:rsidRPr="006132AE">
          <w:rPr>
            <w:noProof/>
            <w:webHidden/>
          </w:rPr>
          <w:fldChar w:fldCharType="end"/>
        </w:r>
      </w:hyperlink>
    </w:p>
    <w:p w14:paraId="71E54D9D" w14:textId="77777777" w:rsidR="006F4251" w:rsidRPr="006132AE" w:rsidRDefault="00692D42">
      <w:pPr>
        <w:pStyle w:val="TM1"/>
        <w:rPr>
          <w:noProof/>
        </w:rPr>
      </w:pPr>
      <w:hyperlink w:anchor="_Toc492477134" w:history="1">
        <w:r w:rsidR="006F4251" w:rsidRPr="006132AE">
          <w:rPr>
            <w:rStyle w:val="Lienhypertexte"/>
            <w:noProof/>
          </w:rPr>
          <w:t>1 - Acceptation des présentes clauses</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_Toc492477134 \h </w:instrText>
        </w:r>
        <w:r w:rsidR="006F4251" w:rsidRPr="006132AE">
          <w:rPr>
            <w:noProof/>
            <w:webHidden/>
          </w:rPr>
        </w:r>
        <w:r w:rsidR="006F4251" w:rsidRPr="006132AE">
          <w:rPr>
            <w:noProof/>
            <w:webHidden/>
          </w:rPr>
          <w:fldChar w:fldCharType="separate"/>
        </w:r>
        <w:r w:rsidR="006F4251" w:rsidRPr="006132AE">
          <w:rPr>
            <w:noProof/>
            <w:webHidden/>
          </w:rPr>
          <w:t>2</w:t>
        </w:r>
        <w:r w:rsidR="006F4251" w:rsidRPr="006132AE">
          <w:rPr>
            <w:noProof/>
            <w:webHidden/>
          </w:rPr>
          <w:fldChar w:fldCharType="end"/>
        </w:r>
      </w:hyperlink>
    </w:p>
    <w:p w14:paraId="04DF6FFB" w14:textId="77777777" w:rsidR="006F4251" w:rsidRPr="006132AE" w:rsidRDefault="00692D42">
      <w:pPr>
        <w:pStyle w:val="TM2"/>
        <w:rPr>
          <w:noProof/>
        </w:rPr>
      </w:pPr>
      <w:hyperlink w:anchor="_Toc492477135" w:history="1">
        <w:r w:rsidR="006F4251" w:rsidRPr="006132AE">
          <w:rPr>
            <w:rStyle w:val="Lienhypertexte"/>
            <w:noProof/>
          </w:rPr>
          <w:t>1.1 - Inscription</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_Toc492477135 \h </w:instrText>
        </w:r>
        <w:r w:rsidR="006F4251" w:rsidRPr="006132AE">
          <w:rPr>
            <w:noProof/>
            <w:webHidden/>
          </w:rPr>
        </w:r>
        <w:r w:rsidR="006F4251" w:rsidRPr="006132AE">
          <w:rPr>
            <w:noProof/>
            <w:webHidden/>
          </w:rPr>
          <w:fldChar w:fldCharType="separate"/>
        </w:r>
        <w:r w:rsidR="006F4251" w:rsidRPr="006132AE">
          <w:rPr>
            <w:noProof/>
            <w:webHidden/>
          </w:rPr>
          <w:t>2</w:t>
        </w:r>
        <w:r w:rsidR="006F4251" w:rsidRPr="006132AE">
          <w:rPr>
            <w:noProof/>
            <w:webHidden/>
          </w:rPr>
          <w:fldChar w:fldCharType="end"/>
        </w:r>
      </w:hyperlink>
    </w:p>
    <w:p w14:paraId="0AD7B20D" w14:textId="77777777" w:rsidR="006F4251" w:rsidRPr="006132AE" w:rsidRDefault="00692D42">
      <w:pPr>
        <w:pStyle w:val="TM2"/>
        <w:rPr>
          <w:noProof/>
        </w:rPr>
      </w:pPr>
      <w:hyperlink w:anchor="_Toc492477136" w:history="1">
        <w:r w:rsidR="006F4251" w:rsidRPr="006132AE">
          <w:rPr>
            <w:rStyle w:val="Lienhypertexte"/>
            <w:noProof/>
          </w:rPr>
          <w:t>1.2 - Prix et Paiement</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_Toc492477136 \h </w:instrText>
        </w:r>
        <w:r w:rsidR="006F4251" w:rsidRPr="006132AE">
          <w:rPr>
            <w:noProof/>
            <w:webHidden/>
          </w:rPr>
        </w:r>
        <w:r w:rsidR="006F4251" w:rsidRPr="006132AE">
          <w:rPr>
            <w:noProof/>
            <w:webHidden/>
          </w:rPr>
          <w:fldChar w:fldCharType="separate"/>
        </w:r>
        <w:r w:rsidR="006F4251" w:rsidRPr="006132AE">
          <w:rPr>
            <w:noProof/>
            <w:webHidden/>
          </w:rPr>
          <w:t>2</w:t>
        </w:r>
        <w:r w:rsidR="006F4251" w:rsidRPr="006132AE">
          <w:rPr>
            <w:noProof/>
            <w:webHidden/>
          </w:rPr>
          <w:fldChar w:fldCharType="end"/>
        </w:r>
      </w:hyperlink>
    </w:p>
    <w:p w14:paraId="0FD6433D" w14:textId="77777777" w:rsidR="006F4251" w:rsidRPr="006132AE" w:rsidRDefault="00692D42">
      <w:pPr>
        <w:pStyle w:val="TM1"/>
        <w:rPr>
          <w:noProof/>
        </w:rPr>
      </w:pPr>
      <w:hyperlink w:anchor="_Toc492477137" w:history="1">
        <w:r w:rsidR="006F4251" w:rsidRPr="006132AE">
          <w:rPr>
            <w:rStyle w:val="Lienhypertexte"/>
            <w:noProof/>
          </w:rPr>
          <w:t>2 - Annulation</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_Toc492477137 \h </w:instrText>
        </w:r>
        <w:r w:rsidR="006F4251" w:rsidRPr="006132AE">
          <w:rPr>
            <w:noProof/>
            <w:webHidden/>
          </w:rPr>
        </w:r>
        <w:r w:rsidR="006F4251" w:rsidRPr="006132AE">
          <w:rPr>
            <w:noProof/>
            <w:webHidden/>
          </w:rPr>
          <w:fldChar w:fldCharType="separate"/>
        </w:r>
        <w:r w:rsidR="006F4251" w:rsidRPr="006132AE">
          <w:rPr>
            <w:noProof/>
            <w:webHidden/>
          </w:rPr>
          <w:t>3</w:t>
        </w:r>
        <w:r w:rsidR="006F4251" w:rsidRPr="006132AE">
          <w:rPr>
            <w:noProof/>
            <w:webHidden/>
          </w:rPr>
          <w:fldChar w:fldCharType="end"/>
        </w:r>
      </w:hyperlink>
    </w:p>
    <w:p w14:paraId="29DE3C93" w14:textId="77777777" w:rsidR="006F4251" w:rsidRPr="006132AE" w:rsidRDefault="00692D42">
      <w:pPr>
        <w:pStyle w:val="TM2"/>
        <w:rPr>
          <w:noProof/>
        </w:rPr>
      </w:pPr>
      <w:hyperlink w:anchor="_Toc492477138" w:history="1">
        <w:r w:rsidR="006F4251" w:rsidRPr="006132AE">
          <w:rPr>
            <w:rStyle w:val="Lienhypertexte"/>
            <w:noProof/>
          </w:rPr>
          <w:t>2.1 – Annulation J - 15 : remboursement intégral</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_Toc492477138 \h </w:instrText>
        </w:r>
        <w:r w:rsidR="006F4251" w:rsidRPr="006132AE">
          <w:rPr>
            <w:noProof/>
            <w:webHidden/>
          </w:rPr>
        </w:r>
        <w:r w:rsidR="006F4251" w:rsidRPr="006132AE">
          <w:rPr>
            <w:noProof/>
            <w:webHidden/>
          </w:rPr>
          <w:fldChar w:fldCharType="separate"/>
        </w:r>
        <w:r w:rsidR="006F4251" w:rsidRPr="006132AE">
          <w:rPr>
            <w:noProof/>
            <w:webHidden/>
          </w:rPr>
          <w:t>3</w:t>
        </w:r>
        <w:r w:rsidR="006F4251" w:rsidRPr="006132AE">
          <w:rPr>
            <w:noProof/>
            <w:webHidden/>
          </w:rPr>
          <w:fldChar w:fldCharType="end"/>
        </w:r>
      </w:hyperlink>
    </w:p>
    <w:p w14:paraId="4DC69CD5" w14:textId="77777777" w:rsidR="006F4251" w:rsidRPr="006132AE" w:rsidRDefault="00692D42">
      <w:pPr>
        <w:pStyle w:val="TM2"/>
        <w:rPr>
          <w:noProof/>
        </w:rPr>
      </w:pPr>
      <w:hyperlink w:anchor="_Toc492477139" w:history="1">
        <w:r w:rsidR="006F4251" w:rsidRPr="006132AE">
          <w:rPr>
            <w:rStyle w:val="Lienhypertexte"/>
            <w:noProof/>
          </w:rPr>
          <w:t>2.2 – Annulation J – 7 : remboursement partiel</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_Toc492477139 \h </w:instrText>
        </w:r>
        <w:r w:rsidR="006F4251" w:rsidRPr="006132AE">
          <w:rPr>
            <w:noProof/>
            <w:webHidden/>
          </w:rPr>
        </w:r>
        <w:r w:rsidR="006F4251" w:rsidRPr="006132AE">
          <w:rPr>
            <w:noProof/>
            <w:webHidden/>
          </w:rPr>
          <w:fldChar w:fldCharType="separate"/>
        </w:r>
        <w:r w:rsidR="006F4251" w:rsidRPr="006132AE">
          <w:rPr>
            <w:noProof/>
            <w:webHidden/>
          </w:rPr>
          <w:t>3</w:t>
        </w:r>
        <w:r w:rsidR="006F4251" w:rsidRPr="006132AE">
          <w:rPr>
            <w:noProof/>
            <w:webHidden/>
          </w:rPr>
          <w:fldChar w:fldCharType="end"/>
        </w:r>
      </w:hyperlink>
    </w:p>
    <w:p w14:paraId="577B7184" w14:textId="77777777" w:rsidR="006F4251" w:rsidRPr="006132AE" w:rsidRDefault="00692D42">
      <w:pPr>
        <w:pStyle w:val="TM2"/>
        <w:rPr>
          <w:noProof/>
        </w:rPr>
      </w:pPr>
      <w:hyperlink w:anchor="_Toc492477140" w:history="1">
        <w:r w:rsidR="006F4251" w:rsidRPr="006132AE">
          <w:rPr>
            <w:rStyle w:val="Lienhypertexte"/>
            <w:noProof/>
          </w:rPr>
          <w:t>2.3 – Annulation J à J-7 : absence de remboursement</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_Toc492477140 \h </w:instrText>
        </w:r>
        <w:r w:rsidR="006F4251" w:rsidRPr="006132AE">
          <w:rPr>
            <w:noProof/>
            <w:webHidden/>
          </w:rPr>
        </w:r>
        <w:r w:rsidR="006F4251" w:rsidRPr="006132AE">
          <w:rPr>
            <w:noProof/>
            <w:webHidden/>
          </w:rPr>
          <w:fldChar w:fldCharType="separate"/>
        </w:r>
        <w:r w:rsidR="006F4251" w:rsidRPr="006132AE">
          <w:rPr>
            <w:noProof/>
            <w:webHidden/>
          </w:rPr>
          <w:t>3</w:t>
        </w:r>
        <w:r w:rsidR="006F4251" w:rsidRPr="006132AE">
          <w:rPr>
            <w:noProof/>
            <w:webHidden/>
          </w:rPr>
          <w:fldChar w:fldCharType="end"/>
        </w:r>
      </w:hyperlink>
    </w:p>
    <w:p w14:paraId="35BEC280" w14:textId="77777777" w:rsidR="006F4251" w:rsidRPr="006132AE" w:rsidRDefault="00692D42">
      <w:pPr>
        <w:pStyle w:val="TM1"/>
        <w:rPr>
          <w:noProof/>
        </w:rPr>
      </w:pPr>
      <w:hyperlink w:anchor="_Toc492477141" w:history="1">
        <w:r w:rsidR="006F4251" w:rsidRPr="006132AE">
          <w:rPr>
            <w:rStyle w:val="Lienhypertexte"/>
            <w:noProof/>
          </w:rPr>
          <w:t>3 – Reprogrammation ou modification</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_Toc492477141 \h </w:instrText>
        </w:r>
        <w:r w:rsidR="006F4251" w:rsidRPr="006132AE">
          <w:rPr>
            <w:noProof/>
            <w:webHidden/>
          </w:rPr>
        </w:r>
        <w:r w:rsidR="006F4251" w:rsidRPr="006132AE">
          <w:rPr>
            <w:noProof/>
            <w:webHidden/>
          </w:rPr>
          <w:fldChar w:fldCharType="separate"/>
        </w:r>
        <w:r w:rsidR="006F4251" w:rsidRPr="006132AE">
          <w:rPr>
            <w:noProof/>
            <w:webHidden/>
          </w:rPr>
          <w:t>3</w:t>
        </w:r>
        <w:r w:rsidR="006F4251" w:rsidRPr="006132AE">
          <w:rPr>
            <w:noProof/>
            <w:webHidden/>
          </w:rPr>
          <w:fldChar w:fldCharType="end"/>
        </w:r>
      </w:hyperlink>
    </w:p>
    <w:p w14:paraId="72387167" w14:textId="77777777" w:rsidR="006F4251" w:rsidRPr="006132AE" w:rsidRDefault="00692D42">
      <w:pPr>
        <w:pStyle w:val="TM1"/>
        <w:rPr>
          <w:noProof/>
        </w:rPr>
      </w:pPr>
      <w:hyperlink w:anchor="_Toc492477142" w:history="1">
        <w:r w:rsidR="006F4251" w:rsidRPr="006132AE">
          <w:rPr>
            <w:rStyle w:val="Lienhypertexte"/>
            <w:noProof/>
          </w:rPr>
          <w:t>4 - Droit applicable – Attribution de compétence</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_Toc492477142 \h </w:instrText>
        </w:r>
        <w:r w:rsidR="006F4251" w:rsidRPr="006132AE">
          <w:rPr>
            <w:noProof/>
            <w:webHidden/>
          </w:rPr>
        </w:r>
        <w:r w:rsidR="006F4251" w:rsidRPr="006132AE">
          <w:rPr>
            <w:noProof/>
            <w:webHidden/>
          </w:rPr>
          <w:fldChar w:fldCharType="separate"/>
        </w:r>
        <w:r w:rsidR="006F4251" w:rsidRPr="006132AE">
          <w:rPr>
            <w:noProof/>
            <w:webHidden/>
          </w:rPr>
          <w:t>3</w:t>
        </w:r>
        <w:r w:rsidR="006F4251" w:rsidRPr="006132AE">
          <w:rPr>
            <w:noProof/>
            <w:webHidden/>
          </w:rPr>
          <w:fldChar w:fldCharType="end"/>
        </w:r>
      </w:hyperlink>
    </w:p>
    <w:p w14:paraId="7A637280" w14:textId="77777777" w:rsidR="006F4251" w:rsidRDefault="00692D42">
      <w:pPr>
        <w:pStyle w:val="TM1"/>
        <w:rPr>
          <w:noProof/>
        </w:rPr>
      </w:pPr>
      <w:hyperlink w:anchor="_Toc492477143" w:history="1">
        <w:r w:rsidR="006F4251" w:rsidRPr="006132AE">
          <w:rPr>
            <w:rStyle w:val="Lienhypertexte"/>
            <w:noProof/>
          </w:rPr>
          <w:t>5 - Informatique et libertés</w:t>
        </w:r>
        <w:r w:rsidR="006F4251" w:rsidRPr="006132AE">
          <w:rPr>
            <w:noProof/>
            <w:webHidden/>
          </w:rPr>
          <w:tab/>
        </w:r>
        <w:r w:rsidR="006F4251" w:rsidRPr="006132AE">
          <w:rPr>
            <w:noProof/>
            <w:webHidden/>
          </w:rPr>
          <w:fldChar w:fldCharType="begin"/>
        </w:r>
        <w:r w:rsidR="006F4251" w:rsidRPr="006132AE">
          <w:rPr>
            <w:noProof/>
            <w:webHidden/>
          </w:rPr>
          <w:instrText xml:space="preserve"> PAGEREF _Toc492477143 \h </w:instrText>
        </w:r>
        <w:r w:rsidR="006F4251" w:rsidRPr="006132AE">
          <w:rPr>
            <w:noProof/>
            <w:webHidden/>
          </w:rPr>
        </w:r>
        <w:r w:rsidR="006F4251" w:rsidRPr="006132AE">
          <w:rPr>
            <w:noProof/>
            <w:webHidden/>
          </w:rPr>
          <w:fldChar w:fldCharType="separate"/>
        </w:r>
        <w:r w:rsidR="006F4251" w:rsidRPr="006132AE">
          <w:rPr>
            <w:noProof/>
            <w:webHidden/>
          </w:rPr>
          <w:t>3</w:t>
        </w:r>
        <w:r w:rsidR="006F4251" w:rsidRPr="006132AE">
          <w:rPr>
            <w:noProof/>
            <w:webHidden/>
          </w:rPr>
          <w:fldChar w:fldCharType="end"/>
        </w:r>
      </w:hyperlink>
    </w:p>
    <w:p w14:paraId="542CA2E4" w14:textId="77777777" w:rsidR="00332678" w:rsidRPr="00332678" w:rsidRDefault="00332678" w:rsidP="006C4CDE">
      <w:pPr>
        <w:ind w:left="2520"/>
      </w:pPr>
      <w:r>
        <w:fldChar w:fldCharType="end"/>
      </w:r>
    </w:p>
    <w:p w14:paraId="4F71F18C" w14:textId="77777777" w:rsidR="00F873F5" w:rsidRDefault="00F873F5" w:rsidP="006C4CDE">
      <w:pPr>
        <w:pStyle w:val="Titre1"/>
        <w:ind w:left="2520"/>
      </w:pPr>
    </w:p>
    <w:p w14:paraId="614C7733" w14:textId="77777777" w:rsidR="00332678" w:rsidRDefault="00332678" w:rsidP="006C4CDE">
      <w:pPr>
        <w:pStyle w:val="Titre1"/>
        <w:ind w:left="2520"/>
      </w:pPr>
      <w:bookmarkStart w:id="1" w:name="_Toc492477134"/>
      <w:r>
        <w:t>1 - Acceptation des présentes clauses</w:t>
      </w:r>
      <w:bookmarkEnd w:id="1"/>
    </w:p>
    <w:p w14:paraId="4D85DC95" w14:textId="77777777" w:rsidR="002D5692" w:rsidRPr="0095419A" w:rsidRDefault="002D5692" w:rsidP="006C4CDE">
      <w:pPr>
        <w:ind w:left="2520"/>
        <w:jc w:val="both"/>
        <w:rPr>
          <w:b/>
          <w:color w:val="1F497D" w:themeColor="text2"/>
        </w:rPr>
      </w:pPr>
      <w:r w:rsidRPr="0095419A">
        <w:rPr>
          <w:b/>
          <w:color w:val="1F497D" w:themeColor="text2"/>
        </w:rPr>
        <w:t xml:space="preserve">Le fait de remplir le bulletin d’inscription </w:t>
      </w:r>
      <w:r w:rsidR="00475C04" w:rsidRPr="0095419A">
        <w:rPr>
          <w:b/>
          <w:color w:val="1F497D" w:themeColor="text2"/>
        </w:rPr>
        <w:t>à un colloque de l’université de Tours,</w:t>
      </w:r>
      <w:r w:rsidRPr="0095419A">
        <w:rPr>
          <w:b/>
          <w:color w:val="1F497D" w:themeColor="text2"/>
        </w:rPr>
        <w:t xml:space="preserve"> ainsi que le paiement de la ou des place(s) achetée(s) entraînent l’acceptation des présentes conditions générales de vente.</w:t>
      </w:r>
    </w:p>
    <w:p w14:paraId="236C200A" w14:textId="77777777" w:rsidR="00F873F5" w:rsidRDefault="00475C04" w:rsidP="006C4CDE">
      <w:pPr>
        <w:pStyle w:val="Titre2"/>
        <w:ind w:left="2520"/>
      </w:pPr>
      <w:r w:rsidRPr="00332678">
        <w:lastRenderedPageBreak/>
        <w:t xml:space="preserve"> </w:t>
      </w:r>
    </w:p>
    <w:p w14:paraId="0615E64B" w14:textId="77777777" w:rsidR="00475C04" w:rsidRPr="00332678" w:rsidRDefault="006C4CDE" w:rsidP="006C4CDE">
      <w:pPr>
        <w:pStyle w:val="Titre2"/>
        <w:ind w:left="2520"/>
      </w:pPr>
      <w:bookmarkStart w:id="2" w:name="_Toc492477135"/>
      <w:r>
        <w:t xml:space="preserve">1.1 - </w:t>
      </w:r>
      <w:r w:rsidR="00475C04" w:rsidRPr="00332678">
        <w:t>Inscription</w:t>
      </w:r>
      <w:bookmarkEnd w:id="2"/>
      <w:r w:rsidR="00475C04" w:rsidRPr="00332678">
        <w:t xml:space="preserve"> </w:t>
      </w:r>
    </w:p>
    <w:p w14:paraId="113089BD" w14:textId="4E5FE9CF" w:rsidR="00475C04" w:rsidRDefault="00475C04" w:rsidP="006C4CDE">
      <w:pPr>
        <w:ind w:left="2520"/>
        <w:jc w:val="both"/>
      </w:pPr>
      <w:r w:rsidRPr="00475C04">
        <w:t xml:space="preserve">L’inscription est considérée comme </w:t>
      </w:r>
      <w:r w:rsidR="006132AE">
        <w:t xml:space="preserve"> effective </w:t>
      </w:r>
      <w:r w:rsidRPr="00475C04">
        <w:t>à réception du bulletin d’inscription rempli et signé</w:t>
      </w:r>
      <w:r w:rsidR="0095419A">
        <w:t xml:space="preserve"> transmis aux organisateurs du dit colloque</w:t>
      </w:r>
      <w:r>
        <w:t xml:space="preserve"> ou</w:t>
      </w:r>
      <w:r w:rsidR="0095419A">
        <w:t xml:space="preserve"> par</w:t>
      </w:r>
      <w:r>
        <w:t xml:space="preserve"> inscription en ligne sur site </w:t>
      </w:r>
      <w:hyperlink r:id="rId9" w:history="1">
        <w:r w:rsidR="0084090F" w:rsidRPr="004E0D2F">
          <w:rPr>
            <w:rStyle w:val="Lienhypertexte"/>
          </w:rPr>
          <w:t>https://www.sciencesconf.org/</w:t>
        </w:r>
      </w:hyperlink>
    </w:p>
    <w:p w14:paraId="0E20DDDF" w14:textId="77777777" w:rsidR="0095419A" w:rsidRDefault="0095419A" w:rsidP="006C4CDE">
      <w:pPr>
        <w:ind w:left="2520"/>
        <w:jc w:val="both"/>
      </w:pPr>
      <w:r w:rsidRPr="00332678">
        <w:rPr>
          <w:rStyle w:val="Sous-titreCar"/>
        </w:rPr>
        <w:t>Inscription en ligne :</w:t>
      </w:r>
      <w:r>
        <w:t xml:space="preserve"> L’inscription sera payée dès la commande passée, en utilisant le service de paiement en ligne sécurisé de l’Université de Tours, à savoir, le système sécurisé de paiement en ligne Paybox.</w:t>
      </w:r>
      <w:r w:rsidR="00BE7227">
        <w:t xml:space="preserve"> </w:t>
      </w:r>
      <w:r>
        <w:t>La confidentialité des informations bancaires est garantie et sécurisée par le protocole SSL qui contrôle systématiquement la validité des droits d'accès lors du paiement par carte bancaire et crypte tous les échanges.</w:t>
      </w:r>
    </w:p>
    <w:p w14:paraId="1DEC6F0F" w14:textId="045692B0" w:rsidR="00475C04" w:rsidRDefault="00475C04" w:rsidP="006C4CDE">
      <w:pPr>
        <w:ind w:left="2520"/>
        <w:jc w:val="both"/>
      </w:pPr>
      <w:r w:rsidRPr="00475C04">
        <w:t xml:space="preserve"> </w:t>
      </w:r>
      <w:r w:rsidRPr="00332678">
        <w:rPr>
          <w:rStyle w:val="Sous-titreCar"/>
        </w:rPr>
        <w:t>Inscriptions multiples :</w:t>
      </w:r>
      <w:r w:rsidRPr="00475C04">
        <w:t xml:space="preserve"> en cas d’achat de lots d’invitations, les coordonnées de chaque participant devront impérativement être communiquées à l’organisateur, tant pour des raisons de sécurité que pour établir les badges nominatifs. </w:t>
      </w:r>
    </w:p>
    <w:p w14:paraId="126D4B06" w14:textId="071F4373" w:rsidR="002D60F3" w:rsidRPr="006132AE" w:rsidRDefault="00F76C24" w:rsidP="004471CC">
      <w:pPr>
        <w:ind w:left="2520"/>
        <w:jc w:val="both"/>
        <w:rPr>
          <w:i/>
        </w:rPr>
      </w:pPr>
      <w:r w:rsidRPr="009C6848">
        <w:rPr>
          <w:rStyle w:val="Sous-titreCar"/>
        </w:rPr>
        <w:t>l</w:t>
      </w:r>
      <w:r w:rsidR="002D60F3" w:rsidRPr="009C6848">
        <w:rPr>
          <w:rStyle w:val="Sous-titreCar"/>
        </w:rPr>
        <w:t>es</w:t>
      </w:r>
      <w:r w:rsidR="0038673A">
        <w:rPr>
          <w:rStyle w:val="Sous-titreCar"/>
        </w:rPr>
        <w:t xml:space="preserve"> </w:t>
      </w:r>
      <w:r w:rsidR="002D60F3" w:rsidRPr="009C6848">
        <w:rPr>
          <w:rStyle w:val="Sous-titreCar"/>
        </w:rPr>
        <w:t>invités</w:t>
      </w:r>
      <w:r w:rsidR="006132AE">
        <w:rPr>
          <w:rStyle w:val="Sous-titreCar"/>
        </w:rPr>
        <w:t> :</w:t>
      </w:r>
      <w:r w:rsidR="006132AE" w:rsidRPr="009C6848">
        <w:rPr>
          <w:rStyle w:val="Sous-titreCar"/>
          <w:rFonts w:asciiTheme="minorHAnsi" w:hAnsiTheme="minorHAnsi"/>
          <w:i w:val="0"/>
          <w:color w:val="auto"/>
          <w:sz w:val="22"/>
          <w:szCs w:val="22"/>
        </w:rPr>
        <w:t xml:space="preserve"> ils</w:t>
      </w:r>
      <w:r w:rsidR="002D60F3" w:rsidRPr="006132AE">
        <w:rPr>
          <w:rStyle w:val="Sous-titreCar"/>
          <w:rFonts w:asciiTheme="minorHAnsi" w:hAnsiTheme="minorHAnsi"/>
          <w:i w:val="0"/>
          <w:color w:val="auto"/>
          <w:sz w:val="22"/>
          <w:szCs w:val="22"/>
        </w:rPr>
        <w:t xml:space="preserve"> sont inscrits au colloque mais n’acquitte</w:t>
      </w:r>
      <w:r w:rsidRPr="006132AE">
        <w:rPr>
          <w:rStyle w:val="Sous-titreCar"/>
          <w:rFonts w:asciiTheme="minorHAnsi" w:hAnsiTheme="minorHAnsi"/>
          <w:i w:val="0"/>
          <w:color w:val="auto"/>
          <w:sz w:val="22"/>
          <w:szCs w:val="22"/>
        </w:rPr>
        <w:t>nt</w:t>
      </w:r>
      <w:r w:rsidR="002D60F3" w:rsidRPr="006132AE">
        <w:rPr>
          <w:rStyle w:val="Sous-titreCar"/>
          <w:rFonts w:asciiTheme="minorHAnsi" w:hAnsiTheme="minorHAnsi"/>
          <w:i w:val="0"/>
          <w:color w:val="auto"/>
          <w:sz w:val="22"/>
          <w:szCs w:val="22"/>
        </w:rPr>
        <w:t xml:space="preserve"> pas de frais</w:t>
      </w:r>
      <w:r w:rsidR="00B86AB0" w:rsidRPr="006132AE">
        <w:rPr>
          <w:rStyle w:val="Sous-titreCar"/>
          <w:rFonts w:asciiTheme="minorHAnsi" w:hAnsiTheme="minorHAnsi"/>
          <w:i w:val="0"/>
          <w:color w:val="auto"/>
          <w:sz w:val="22"/>
          <w:szCs w:val="22"/>
        </w:rPr>
        <w:t xml:space="preserve"> d’in</w:t>
      </w:r>
      <w:r w:rsidR="00821DD8" w:rsidRPr="006132AE">
        <w:rPr>
          <w:rStyle w:val="Sous-titreCar"/>
          <w:rFonts w:asciiTheme="minorHAnsi" w:hAnsiTheme="minorHAnsi"/>
          <w:i w:val="0"/>
          <w:color w:val="auto"/>
          <w:sz w:val="22"/>
          <w:szCs w:val="22"/>
        </w:rPr>
        <w:t>s</w:t>
      </w:r>
      <w:r w:rsidR="00B86AB0" w:rsidRPr="006132AE">
        <w:rPr>
          <w:rStyle w:val="Sous-titreCar"/>
          <w:rFonts w:asciiTheme="minorHAnsi" w:hAnsiTheme="minorHAnsi"/>
          <w:i w:val="0"/>
          <w:color w:val="auto"/>
          <w:sz w:val="22"/>
          <w:szCs w:val="22"/>
        </w:rPr>
        <w:t>cription</w:t>
      </w:r>
      <w:r w:rsidR="002D60F3" w:rsidRPr="006132AE">
        <w:rPr>
          <w:rStyle w:val="Sous-titreCar"/>
          <w:rFonts w:asciiTheme="minorHAnsi" w:hAnsiTheme="minorHAnsi"/>
          <w:i w:val="0"/>
          <w:color w:val="auto"/>
          <w:sz w:val="22"/>
          <w:szCs w:val="22"/>
        </w:rPr>
        <w:t>.</w:t>
      </w:r>
    </w:p>
    <w:p w14:paraId="05E3DDFB" w14:textId="77777777" w:rsidR="002D5692" w:rsidRPr="006132AE" w:rsidRDefault="006C4CDE" w:rsidP="004471CC">
      <w:pPr>
        <w:pStyle w:val="Titre2"/>
        <w:ind w:left="2520"/>
        <w:jc w:val="both"/>
      </w:pPr>
      <w:bookmarkStart w:id="3" w:name="_Toc492477136"/>
      <w:r w:rsidRPr="006132AE">
        <w:t xml:space="preserve">1.2 - </w:t>
      </w:r>
      <w:r w:rsidR="002D5692" w:rsidRPr="006132AE">
        <w:t>Prix et Paiement</w:t>
      </w:r>
      <w:bookmarkEnd w:id="3"/>
    </w:p>
    <w:p w14:paraId="11C78D86" w14:textId="556B3757" w:rsidR="0095419A" w:rsidRPr="00821DD8" w:rsidRDefault="0095419A" w:rsidP="004471CC">
      <w:pPr>
        <w:ind w:left="2520"/>
        <w:jc w:val="both"/>
      </w:pPr>
      <w:r w:rsidRPr="006132AE">
        <w:rPr>
          <w:b/>
        </w:rPr>
        <w:t>Le paiement s’effectue so</w:t>
      </w:r>
      <w:r w:rsidR="003575DE" w:rsidRPr="006132AE">
        <w:rPr>
          <w:b/>
        </w:rPr>
        <w:t>it par carte bancaire, virement</w:t>
      </w:r>
      <w:r w:rsidR="00C30680" w:rsidRPr="006132AE">
        <w:rPr>
          <w:b/>
        </w:rPr>
        <w:t xml:space="preserve"> </w:t>
      </w:r>
      <w:r w:rsidR="003575DE" w:rsidRPr="006132AE">
        <w:rPr>
          <w:b/>
        </w:rPr>
        <w:t>ou</w:t>
      </w:r>
      <w:r w:rsidRPr="006132AE">
        <w:rPr>
          <w:b/>
        </w:rPr>
        <w:t xml:space="preserve"> chèque</w:t>
      </w:r>
      <w:r w:rsidRPr="006132AE">
        <w:t xml:space="preserve">. </w:t>
      </w:r>
      <w:r w:rsidR="00BE7227" w:rsidRPr="006132AE">
        <w:br/>
      </w:r>
      <w:r w:rsidR="00BE7227" w:rsidRPr="006132AE">
        <w:rPr>
          <w:b/>
        </w:rPr>
        <w:t xml:space="preserve">Les </w:t>
      </w:r>
      <w:r w:rsidR="007D7F8D" w:rsidRPr="006132AE">
        <w:rPr>
          <w:b/>
        </w:rPr>
        <w:t>prix sont établis en euros</w:t>
      </w:r>
      <w:r w:rsidR="00BE7227" w:rsidRPr="006132AE">
        <w:t>.</w:t>
      </w:r>
      <w:r w:rsidR="002D60F3" w:rsidRPr="006132AE">
        <w:t xml:space="preserve"> </w:t>
      </w:r>
      <w:r w:rsidR="00821DD8" w:rsidRPr="006132AE">
        <w:t xml:space="preserve">L’inscription est </w:t>
      </w:r>
      <w:r w:rsidR="006132AE">
        <w:t xml:space="preserve">définitive </w:t>
      </w:r>
      <w:r w:rsidR="00821DD8" w:rsidRPr="006132AE">
        <w:t xml:space="preserve">lorsque le paiement de l’intégralité du prix est constaté dans les écritures de l’agent comptable de l’université ou du régisseur. </w:t>
      </w:r>
      <w:r w:rsidRPr="006132AE">
        <w:t>Les organisateurs se réservent également le droit de refuser l’entrée du colloque à toute personne n’ayant pas acquitté son droit d’inscription</w:t>
      </w:r>
      <w:r w:rsidR="001D0EBC" w:rsidRPr="00821DD8">
        <w:t xml:space="preserve">. </w:t>
      </w:r>
    </w:p>
    <w:p w14:paraId="5185F547" w14:textId="5FC56655" w:rsidR="002D5692" w:rsidRDefault="0095419A" w:rsidP="004471CC">
      <w:pPr>
        <w:ind w:left="2520"/>
        <w:jc w:val="both"/>
      </w:pPr>
      <w:r>
        <w:t>.</w:t>
      </w:r>
      <w:r w:rsidR="002D5692">
        <w:t>Dans le cadre du processus d’inscription et de paiement, le participant devra préciser les informations suivantes : nom et prénom, e-mail, numéro de téléphone, fonction, établissement, ville ainsi que les options qu’il aura choisies parmi celles proposées sur le site.</w:t>
      </w:r>
    </w:p>
    <w:p w14:paraId="1B1F830E" w14:textId="77777777" w:rsidR="0095419A" w:rsidRDefault="0095419A" w:rsidP="006C4CDE">
      <w:pPr>
        <w:ind w:left="2520"/>
        <w:jc w:val="both"/>
      </w:pPr>
    </w:p>
    <w:p w14:paraId="22F376E5" w14:textId="77777777" w:rsidR="00BE7227" w:rsidRDefault="00BE7227" w:rsidP="006C4CDE">
      <w:pPr>
        <w:ind w:left="2520"/>
        <w:jc w:val="both"/>
      </w:pPr>
    </w:p>
    <w:p w14:paraId="7124FB9E" w14:textId="77777777" w:rsidR="00BE7227" w:rsidRDefault="00BE7227" w:rsidP="006C4CDE">
      <w:pPr>
        <w:ind w:left="2520"/>
        <w:jc w:val="both"/>
      </w:pPr>
    </w:p>
    <w:p w14:paraId="32D5C0BB" w14:textId="77777777" w:rsidR="002D5692" w:rsidRPr="0009306A" w:rsidRDefault="006C4CDE" w:rsidP="006C4CDE">
      <w:pPr>
        <w:pStyle w:val="Titre1"/>
        <w:ind w:left="2520"/>
      </w:pPr>
      <w:bookmarkStart w:id="4" w:name="_Toc492477137"/>
      <w:r>
        <w:t xml:space="preserve">2 - </w:t>
      </w:r>
      <w:r w:rsidR="002D5692" w:rsidRPr="0009306A">
        <w:t>Annulation</w:t>
      </w:r>
      <w:bookmarkEnd w:id="4"/>
    </w:p>
    <w:p w14:paraId="4D4F81CD" w14:textId="77777777" w:rsidR="002D5692" w:rsidRPr="009C6848" w:rsidRDefault="002D5692" w:rsidP="006C4CDE">
      <w:pPr>
        <w:ind w:left="2520"/>
        <w:jc w:val="both"/>
        <w:rPr>
          <w:rStyle w:val="Lienhypertexte"/>
        </w:rPr>
      </w:pPr>
      <w:r w:rsidRPr="009C6848">
        <w:rPr>
          <w:b/>
        </w:rPr>
        <w:t xml:space="preserve">Toute annulation d’inscription </w:t>
      </w:r>
      <w:r w:rsidR="00475C04" w:rsidRPr="009C6848">
        <w:rPr>
          <w:b/>
        </w:rPr>
        <w:t>se fai</w:t>
      </w:r>
      <w:r w:rsidR="00755D2E" w:rsidRPr="009C6848">
        <w:rPr>
          <w:b/>
        </w:rPr>
        <w:t>t</w:t>
      </w:r>
      <w:r w:rsidR="00475C04" w:rsidRPr="009C6848">
        <w:rPr>
          <w:b/>
        </w:rPr>
        <w:t xml:space="preserve"> par lettre recommandée </w:t>
      </w:r>
      <w:r w:rsidR="00755D2E" w:rsidRPr="009C6848">
        <w:rPr>
          <w:b/>
        </w:rPr>
        <w:t xml:space="preserve">auprès de l’organisateur du colloque </w:t>
      </w:r>
      <w:r w:rsidR="00475C04" w:rsidRPr="009C6848">
        <w:rPr>
          <w:b/>
        </w:rPr>
        <w:t>ou par courriel avec accusé de réception</w:t>
      </w:r>
      <w:r w:rsidR="00447926" w:rsidRPr="009C6848">
        <w:rPr>
          <w:b/>
        </w:rPr>
        <w:t>.</w:t>
      </w:r>
    </w:p>
    <w:p w14:paraId="7E337454" w14:textId="77777777" w:rsidR="00755D2E" w:rsidRPr="006132AE" w:rsidRDefault="00755D2E" w:rsidP="006C4CDE">
      <w:pPr>
        <w:ind w:left="2520"/>
        <w:jc w:val="both"/>
      </w:pPr>
      <w:r w:rsidRPr="009C6848">
        <w:rPr>
          <w:b/>
        </w:rPr>
        <w:t xml:space="preserve">Le demandeur joint </w:t>
      </w:r>
      <w:r w:rsidR="00447926" w:rsidRPr="009C6848">
        <w:rPr>
          <w:b/>
        </w:rPr>
        <w:t xml:space="preserve">obligatoirement </w:t>
      </w:r>
      <w:r w:rsidRPr="009C6848">
        <w:rPr>
          <w:b/>
        </w:rPr>
        <w:t>un relevé d’identité bancaire afin de pouvoir procéder au remboursement.</w:t>
      </w:r>
    </w:p>
    <w:p w14:paraId="1702B913" w14:textId="77777777" w:rsidR="006C4CDE" w:rsidRPr="009C6848" w:rsidRDefault="006C4CDE" w:rsidP="006C4CDE">
      <w:pPr>
        <w:pStyle w:val="Titre2"/>
        <w:ind w:left="2520"/>
      </w:pPr>
      <w:bookmarkStart w:id="5" w:name="_Toc492477138"/>
      <w:r w:rsidRPr="009C6848">
        <w:t>2.1 – Annulation J - 15</w:t>
      </w:r>
      <w:r w:rsidR="0052541A" w:rsidRPr="009C6848">
        <w:t> : remboursement intégral</w:t>
      </w:r>
      <w:bookmarkEnd w:id="5"/>
    </w:p>
    <w:p w14:paraId="5E82B96F" w14:textId="77777777" w:rsidR="002D5692" w:rsidRPr="009C6848" w:rsidRDefault="00475C04" w:rsidP="006C4CDE">
      <w:pPr>
        <w:pStyle w:val="Sansinterligne"/>
        <w:ind w:left="2520"/>
        <w:jc w:val="both"/>
      </w:pPr>
      <w:r w:rsidRPr="009C6848">
        <w:t>U</w:t>
      </w:r>
      <w:r w:rsidR="002D5692" w:rsidRPr="009C6848">
        <w:t xml:space="preserve">ne </w:t>
      </w:r>
      <w:r w:rsidR="008D3F9C" w:rsidRPr="009C6848">
        <w:t>demande d’</w:t>
      </w:r>
      <w:r w:rsidR="001A4858" w:rsidRPr="009C6848">
        <w:t>annulation réceptionnée</w:t>
      </w:r>
      <w:r w:rsidR="008D3F9C" w:rsidRPr="009C6848">
        <w:t xml:space="preserve"> au minimum 15 jours</w:t>
      </w:r>
      <w:r w:rsidR="002D5692" w:rsidRPr="009C6848">
        <w:t xml:space="preserve"> avant la date du Colloque donne lieu au remboursement </w:t>
      </w:r>
      <w:r w:rsidR="00755D2E" w:rsidRPr="009C6848">
        <w:t>intégral</w:t>
      </w:r>
      <w:r w:rsidR="002D5692" w:rsidRPr="009C6848">
        <w:t>.</w:t>
      </w:r>
    </w:p>
    <w:p w14:paraId="5810C59E" w14:textId="77777777" w:rsidR="006C4CDE" w:rsidRPr="009C6848" w:rsidRDefault="006C4CDE" w:rsidP="006C4CDE">
      <w:pPr>
        <w:pStyle w:val="Titre2"/>
        <w:ind w:left="2520"/>
      </w:pPr>
      <w:bookmarkStart w:id="6" w:name="_Toc492477139"/>
      <w:r w:rsidRPr="009C6848">
        <w:lastRenderedPageBreak/>
        <w:t xml:space="preserve">2.2 – Annulation J </w:t>
      </w:r>
      <w:r w:rsidR="0052541A" w:rsidRPr="009C6848">
        <w:t>–</w:t>
      </w:r>
      <w:r w:rsidRPr="009C6848">
        <w:t xml:space="preserve"> 7</w:t>
      </w:r>
      <w:r w:rsidR="0052541A" w:rsidRPr="009C6848">
        <w:t> : remboursement partiel</w:t>
      </w:r>
      <w:bookmarkEnd w:id="6"/>
    </w:p>
    <w:p w14:paraId="167A26A0" w14:textId="77777777" w:rsidR="002D5692" w:rsidRPr="009C6848" w:rsidRDefault="002D5692" w:rsidP="006C4CDE">
      <w:pPr>
        <w:pStyle w:val="Sansinterligne"/>
        <w:ind w:left="2520"/>
        <w:jc w:val="both"/>
      </w:pPr>
      <w:r w:rsidRPr="009C6848">
        <w:t xml:space="preserve">Une annulation intervenant entre </w:t>
      </w:r>
      <w:r w:rsidR="00A64C1D" w:rsidRPr="009C6848">
        <w:t>J-15 et J-7</w:t>
      </w:r>
      <w:r w:rsidRPr="009C6848">
        <w:t xml:space="preserve"> avant la date du </w:t>
      </w:r>
      <w:r w:rsidR="00A64C1D" w:rsidRPr="009C6848">
        <w:t>c</w:t>
      </w:r>
      <w:r w:rsidRPr="009C6848">
        <w:t xml:space="preserve">olloque donne lieu à la facturation au </w:t>
      </w:r>
      <w:r w:rsidR="00A64C1D" w:rsidRPr="009C6848">
        <w:t>p</w:t>
      </w:r>
      <w:r w:rsidRPr="009C6848">
        <w:t xml:space="preserve">articipant de 50% du </w:t>
      </w:r>
      <w:r w:rsidR="00A64C1D" w:rsidRPr="009C6848">
        <w:t>montant de l’inscription</w:t>
      </w:r>
      <w:r w:rsidRPr="009C6848">
        <w:t>.</w:t>
      </w:r>
    </w:p>
    <w:p w14:paraId="67289500" w14:textId="77777777" w:rsidR="006C4CDE" w:rsidRPr="009C6848" w:rsidRDefault="006C4CDE" w:rsidP="006C4CDE">
      <w:pPr>
        <w:pStyle w:val="Titre2"/>
        <w:ind w:left="2520"/>
      </w:pPr>
      <w:bookmarkStart w:id="7" w:name="_Toc492477140"/>
      <w:r w:rsidRPr="009C6848">
        <w:t>2.3 – Annulation J à J-7</w:t>
      </w:r>
      <w:r w:rsidR="0052541A" w:rsidRPr="009C6848">
        <w:t> : absence de remboursement</w:t>
      </w:r>
      <w:bookmarkEnd w:id="7"/>
    </w:p>
    <w:p w14:paraId="1AE908C7" w14:textId="77777777" w:rsidR="002D5692" w:rsidRPr="009C6848" w:rsidRDefault="00A64C1D" w:rsidP="006C4CDE">
      <w:pPr>
        <w:pStyle w:val="Sansinterligne"/>
        <w:ind w:left="2520"/>
        <w:jc w:val="both"/>
      </w:pPr>
      <w:r w:rsidRPr="009C6848">
        <w:t xml:space="preserve">Il n’y pas de remboursement pour une </w:t>
      </w:r>
      <w:r w:rsidR="002D5692" w:rsidRPr="009C6848">
        <w:t>annulation intervenant moins d</w:t>
      </w:r>
      <w:r w:rsidRPr="009C6848">
        <w:t>e 7 jours</w:t>
      </w:r>
      <w:r w:rsidR="002D5692" w:rsidRPr="009C6848">
        <w:t xml:space="preserve"> avant la date du Colloque</w:t>
      </w:r>
      <w:r w:rsidRPr="009C6848">
        <w:t>. La</w:t>
      </w:r>
      <w:r w:rsidR="002D5692" w:rsidRPr="009C6848">
        <w:t xml:space="preserve"> facturation de la totalité </w:t>
      </w:r>
      <w:r w:rsidRPr="009C6848">
        <w:t>du montant de  l’inscription est due</w:t>
      </w:r>
      <w:r w:rsidR="002D5692" w:rsidRPr="009C6848">
        <w:t>.</w:t>
      </w:r>
    </w:p>
    <w:p w14:paraId="790283B8" w14:textId="77777777" w:rsidR="002D5692" w:rsidRDefault="00A64C1D" w:rsidP="006C4CDE">
      <w:pPr>
        <w:ind w:left="2520"/>
        <w:jc w:val="both"/>
      </w:pPr>
      <w:r w:rsidRPr="009C6848">
        <w:t>Par ailleurs, aucun remboursement n’est réalisé e</w:t>
      </w:r>
      <w:r w:rsidR="002D5692" w:rsidRPr="009C6848">
        <w:t>n cas d’absence d</w:t>
      </w:r>
      <w:r w:rsidRPr="009C6848">
        <w:t>’</w:t>
      </w:r>
      <w:r w:rsidR="002D5692" w:rsidRPr="009C6848">
        <w:t>u</w:t>
      </w:r>
      <w:r w:rsidRPr="009C6848">
        <w:t>n</w:t>
      </w:r>
      <w:r w:rsidR="002D5692" w:rsidRPr="009C6848">
        <w:t xml:space="preserve"> </w:t>
      </w:r>
      <w:r w:rsidRPr="009C6848">
        <w:t>participant au Colloque.</w:t>
      </w:r>
    </w:p>
    <w:p w14:paraId="70842A58" w14:textId="77777777" w:rsidR="006C4CDE" w:rsidRDefault="006C4CDE" w:rsidP="006C4CDE">
      <w:pPr>
        <w:pStyle w:val="Titre1"/>
        <w:ind w:left="2520"/>
      </w:pPr>
      <w:bookmarkStart w:id="8" w:name="_Toc492477141"/>
      <w:r>
        <w:t>3 – Reprogrammation ou modification</w:t>
      </w:r>
      <w:bookmarkEnd w:id="8"/>
    </w:p>
    <w:p w14:paraId="19595F97" w14:textId="77777777" w:rsidR="00475C04" w:rsidRDefault="00475C04" w:rsidP="006C4CDE">
      <w:pPr>
        <w:ind w:left="2520"/>
        <w:jc w:val="both"/>
      </w:pPr>
      <w:r>
        <w:t>L’Université de Tours</w:t>
      </w:r>
      <w:r w:rsidRPr="00475C04">
        <w:t xml:space="preserve"> se réserve le droit de rep</w:t>
      </w:r>
      <w:r w:rsidR="006C4CDE">
        <w:t>rogrammer la tenue du</w:t>
      </w:r>
      <w:r w:rsidRPr="00475C04">
        <w:t xml:space="preserve"> colloque, de modifier le lieu de son déroulement, le contenu de son programme ou de remplacer un intervenant, si des circonstances indépendantes de sa volonté l’y obligent sans que cela ne puisse donner droit à aucune compensation ni remboursement.</w:t>
      </w:r>
    </w:p>
    <w:p w14:paraId="14B4F3CF" w14:textId="77777777" w:rsidR="002D5692" w:rsidRPr="0009306A" w:rsidRDefault="006C4CDE" w:rsidP="006C4CDE">
      <w:pPr>
        <w:pStyle w:val="Titre1"/>
        <w:ind w:left="2520"/>
      </w:pPr>
      <w:bookmarkStart w:id="9" w:name="_Toc492477142"/>
      <w:r>
        <w:t xml:space="preserve">4 - </w:t>
      </w:r>
      <w:r w:rsidR="002D5692" w:rsidRPr="0009306A">
        <w:t>Droit applicable – Attribution de compétence</w:t>
      </w:r>
      <w:bookmarkEnd w:id="9"/>
    </w:p>
    <w:p w14:paraId="7CF9F867" w14:textId="77777777" w:rsidR="0095419A" w:rsidRDefault="0095419A" w:rsidP="006C4CDE">
      <w:pPr>
        <w:ind w:left="2520"/>
        <w:jc w:val="both"/>
      </w:pPr>
      <w:r w:rsidRPr="0095419A">
        <w:t>Les présentes Conditions Générales de Partenariat et les opérations qui en découlent sont régies et soumises au droit français. Les présentes Conditions Générales de Partenariat sont rédigées en langue française. Dans le cas où elles seraient traduites en une ou plusieurs langues étrangères, seul le texte français ferait foi en cas de litige.</w:t>
      </w:r>
    </w:p>
    <w:p w14:paraId="1CBB8E11" w14:textId="77777777" w:rsidR="002D5692" w:rsidRPr="006132AE" w:rsidRDefault="006C4CDE" w:rsidP="006C4CDE">
      <w:pPr>
        <w:pStyle w:val="Titre1"/>
        <w:ind w:left="2520"/>
      </w:pPr>
      <w:bookmarkStart w:id="10" w:name="_Toc492477143"/>
      <w:r w:rsidRPr="009C6848">
        <w:t xml:space="preserve">5 - </w:t>
      </w:r>
      <w:r w:rsidR="00475C04" w:rsidRPr="009C6848">
        <w:t>Informatique et libertés</w:t>
      </w:r>
      <w:bookmarkEnd w:id="10"/>
    </w:p>
    <w:p w14:paraId="6245E562" w14:textId="0AA1ABEC" w:rsidR="002D5692" w:rsidRPr="009C6848" w:rsidRDefault="002D5692" w:rsidP="006C4CDE">
      <w:pPr>
        <w:ind w:left="2520"/>
        <w:jc w:val="both"/>
      </w:pPr>
      <w:r w:rsidRPr="006132AE">
        <w:t xml:space="preserve">Conformément aux dispositions de la Loi n°2004-801 du 6 août 2004, les informations qui vous sont demandées sont nécessaires au traitement de votre inscription et sont destinées aux services de </w:t>
      </w:r>
      <w:r w:rsidR="00475C04" w:rsidRPr="006132AE">
        <w:t>l’université de Tours</w:t>
      </w:r>
      <w:r w:rsidRPr="006132AE">
        <w:t xml:space="preserve">. </w:t>
      </w:r>
      <w:r w:rsidRPr="009C6848">
        <w:t>Vous pouvez accéder à ces informations et en demander la rectification</w:t>
      </w:r>
      <w:r w:rsidR="00BE7227" w:rsidRPr="009C6848">
        <w:t xml:space="preserve"> en s’adressant par courriel à l’adresse suivante :</w:t>
      </w:r>
      <w:r w:rsidR="00BE7227" w:rsidRPr="009C6848">
        <w:rPr>
          <w:color w:val="FF0000"/>
        </w:rPr>
        <w:t> </w:t>
      </w:r>
      <w:r w:rsidR="0038673A" w:rsidRPr="009C6848">
        <w:t>daj@univ-tours.fr</w:t>
      </w:r>
      <w:r w:rsidRPr="0038673A">
        <w:t xml:space="preserve"> </w:t>
      </w:r>
    </w:p>
    <w:p w14:paraId="2E7DDE2F" w14:textId="77777777" w:rsidR="00F56315" w:rsidRDefault="00F56315" w:rsidP="006C4CDE">
      <w:pPr>
        <w:ind w:left="2520"/>
        <w:jc w:val="both"/>
      </w:pPr>
      <w:bookmarkStart w:id="11" w:name="_GoBack"/>
      <w:bookmarkEnd w:id="11"/>
    </w:p>
    <w:sectPr w:rsidR="00F56315" w:rsidSect="00750FE3">
      <w:headerReference w:type="default" r:id="rId10"/>
      <w:pgSz w:w="11906" w:h="16838"/>
      <w:pgMar w:top="0" w:right="1417" w:bottom="1417" w:left="1417"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00F46" w14:textId="77777777" w:rsidR="00692D42" w:rsidRDefault="00692D42" w:rsidP="0095419A">
      <w:pPr>
        <w:spacing w:after="0" w:line="240" w:lineRule="auto"/>
      </w:pPr>
      <w:r>
        <w:separator/>
      </w:r>
    </w:p>
  </w:endnote>
  <w:endnote w:type="continuationSeparator" w:id="0">
    <w:p w14:paraId="599376F7" w14:textId="77777777" w:rsidR="00692D42" w:rsidRDefault="00692D42" w:rsidP="0095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5D8F" w14:textId="77777777" w:rsidR="00692D42" w:rsidRDefault="00692D42" w:rsidP="0095419A">
      <w:pPr>
        <w:spacing w:after="0" w:line="240" w:lineRule="auto"/>
      </w:pPr>
      <w:r>
        <w:separator/>
      </w:r>
    </w:p>
  </w:footnote>
  <w:footnote w:type="continuationSeparator" w:id="0">
    <w:p w14:paraId="01D7B00E" w14:textId="77777777" w:rsidR="00692D42" w:rsidRDefault="00692D42" w:rsidP="0095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C7BF" w14:textId="77777777" w:rsidR="0095419A" w:rsidRPr="001C4C02" w:rsidRDefault="0095419A" w:rsidP="001C4C02">
    <w:pPr>
      <w:pStyle w:val="En-tte"/>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86876"/>
    <w:multiLevelType w:val="hybridMultilevel"/>
    <w:tmpl w:val="A0BA8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043E9C-7748-49C7-99F7-10D6922E813E}"/>
    <w:docVar w:name="dgnword-eventsink" w:val="200529968"/>
  </w:docVars>
  <w:rsids>
    <w:rsidRoot w:val="002D5692"/>
    <w:rsid w:val="0009306A"/>
    <w:rsid w:val="000B0F95"/>
    <w:rsid w:val="00194056"/>
    <w:rsid w:val="001A4858"/>
    <w:rsid w:val="001C4C02"/>
    <w:rsid w:val="001D0EBC"/>
    <w:rsid w:val="001E5D08"/>
    <w:rsid w:val="001F084C"/>
    <w:rsid w:val="002D5692"/>
    <w:rsid w:val="002D60F3"/>
    <w:rsid w:val="003109DD"/>
    <w:rsid w:val="00332678"/>
    <w:rsid w:val="00334648"/>
    <w:rsid w:val="003463AB"/>
    <w:rsid w:val="003575DE"/>
    <w:rsid w:val="0038673A"/>
    <w:rsid w:val="003A45C6"/>
    <w:rsid w:val="003A7A5A"/>
    <w:rsid w:val="003B1805"/>
    <w:rsid w:val="00431F53"/>
    <w:rsid w:val="004471CC"/>
    <w:rsid w:val="00447926"/>
    <w:rsid w:val="00475C04"/>
    <w:rsid w:val="0052541A"/>
    <w:rsid w:val="005449CA"/>
    <w:rsid w:val="006132AE"/>
    <w:rsid w:val="00640D15"/>
    <w:rsid w:val="00692D42"/>
    <w:rsid w:val="006C4CDE"/>
    <w:rsid w:val="006F4251"/>
    <w:rsid w:val="00750FE3"/>
    <w:rsid w:val="00755D2E"/>
    <w:rsid w:val="00797250"/>
    <w:rsid w:val="007D7F8D"/>
    <w:rsid w:val="00821DD8"/>
    <w:rsid w:val="00831208"/>
    <w:rsid w:val="0084090F"/>
    <w:rsid w:val="008D3F9C"/>
    <w:rsid w:val="0095419A"/>
    <w:rsid w:val="009A65DE"/>
    <w:rsid w:val="009C6848"/>
    <w:rsid w:val="009C79EA"/>
    <w:rsid w:val="009E4734"/>
    <w:rsid w:val="00A64C1D"/>
    <w:rsid w:val="00B86AB0"/>
    <w:rsid w:val="00BE7227"/>
    <w:rsid w:val="00C30680"/>
    <w:rsid w:val="00C73BDE"/>
    <w:rsid w:val="00CF747D"/>
    <w:rsid w:val="00D35990"/>
    <w:rsid w:val="00D55AE6"/>
    <w:rsid w:val="00D70B79"/>
    <w:rsid w:val="00DD404D"/>
    <w:rsid w:val="00E319D2"/>
    <w:rsid w:val="00E918DD"/>
    <w:rsid w:val="00F2181C"/>
    <w:rsid w:val="00F27A7E"/>
    <w:rsid w:val="00F56315"/>
    <w:rsid w:val="00F76C24"/>
    <w:rsid w:val="00F87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69E93"/>
  <w15:docId w15:val="{56E72FC0-1CD8-431D-BB91-CBD54CCA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326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32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326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5C04"/>
    <w:pPr>
      <w:spacing w:after="0" w:line="240" w:lineRule="auto"/>
    </w:pPr>
  </w:style>
  <w:style w:type="paragraph" w:styleId="En-tte">
    <w:name w:val="header"/>
    <w:basedOn w:val="Normal"/>
    <w:link w:val="En-tteCar"/>
    <w:uiPriority w:val="99"/>
    <w:unhideWhenUsed/>
    <w:rsid w:val="0095419A"/>
    <w:pPr>
      <w:tabs>
        <w:tab w:val="center" w:pos="4536"/>
        <w:tab w:val="right" w:pos="9072"/>
      </w:tabs>
      <w:spacing w:after="0" w:line="240" w:lineRule="auto"/>
    </w:pPr>
  </w:style>
  <w:style w:type="character" w:customStyle="1" w:styleId="En-tteCar">
    <w:name w:val="En-tête Car"/>
    <w:basedOn w:val="Policepardfaut"/>
    <w:link w:val="En-tte"/>
    <w:uiPriority w:val="99"/>
    <w:rsid w:val="0095419A"/>
  </w:style>
  <w:style w:type="paragraph" w:styleId="Pieddepage">
    <w:name w:val="footer"/>
    <w:basedOn w:val="Normal"/>
    <w:link w:val="PieddepageCar"/>
    <w:uiPriority w:val="99"/>
    <w:unhideWhenUsed/>
    <w:rsid w:val="009541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19A"/>
  </w:style>
  <w:style w:type="paragraph" w:styleId="Textedebulles">
    <w:name w:val="Balloon Text"/>
    <w:basedOn w:val="Normal"/>
    <w:link w:val="TextedebullesCar"/>
    <w:uiPriority w:val="99"/>
    <w:semiHidden/>
    <w:unhideWhenUsed/>
    <w:rsid w:val="009541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19A"/>
    <w:rPr>
      <w:rFonts w:ascii="Tahoma" w:hAnsi="Tahoma" w:cs="Tahoma"/>
      <w:sz w:val="16"/>
      <w:szCs w:val="16"/>
    </w:rPr>
  </w:style>
  <w:style w:type="character" w:customStyle="1" w:styleId="Titre1Car">
    <w:name w:val="Titre 1 Car"/>
    <w:basedOn w:val="Policepardfaut"/>
    <w:link w:val="Titre1"/>
    <w:uiPriority w:val="9"/>
    <w:rsid w:val="0033267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3267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32678"/>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uiPriority w:val="11"/>
    <w:qFormat/>
    <w:rsid w:val="003326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32678"/>
    <w:rPr>
      <w:rFonts w:asciiTheme="majorHAnsi" w:eastAsiaTheme="majorEastAsia" w:hAnsiTheme="majorHAnsi" w:cstheme="majorBidi"/>
      <w:i/>
      <w:iCs/>
      <w:color w:val="4F81BD" w:themeColor="accent1"/>
      <w:spacing w:val="15"/>
      <w:sz w:val="24"/>
      <w:szCs w:val="24"/>
    </w:rPr>
  </w:style>
  <w:style w:type="paragraph" w:styleId="En-ttedetabledesmatires">
    <w:name w:val="TOC Heading"/>
    <w:basedOn w:val="Titre1"/>
    <w:next w:val="Normal"/>
    <w:uiPriority w:val="39"/>
    <w:unhideWhenUsed/>
    <w:qFormat/>
    <w:rsid w:val="00332678"/>
    <w:pPr>
      <w:outlineLvl w:val="9"/>
    </w:pPr>
    <w:rPr>
      <w:lang w:eastAsia="fr-FR"/>
    </w:rPr>
  </w:style>
  <w:style w:type="paragraph" w:styleId="TM2">
    <w:name w:val="toc 2"/>
    <w:basedOn w:val="Normal"/>
    <w:next w:val="Normal"/>
    <w:autoRedefine/>
    <w:uiPriority w:val="39"/>
    <w:unhideWhenUsed/>
    <w:qFormat/>
    <w:rsid w:val="00F873F5"/>
    <w:pPr>
      <w:tabs>
        <w:tab w:val="right" w:leader="dot" w:pos="9062"/>
      </w:tabs>
      <w:spacing w:after="100"/>
      <w:ind w:left="2520"/>
    </w:pPr>
    <w:rPr>
      <w:rFonts w:eastAsiaTheme="minorEastAsia"/>
      <w:lang w:eastAsia="fr-FR"/>
    </w:rPr>
  </w:style>
  <w:style w:type="paragraph" w:styleId="TM1">
    <w:name w:val="toc 1"/>
    <w:basedOn w:val="Normal"/>
    <w:next w:val="Normal"/>
    <w:autoRedefine/>
    <w:uiPriority w:val="39"/>
    <w:unhideWhenUsed/>
    <w:qFormat/>
    <w:rsid w:val="00F873F5"/>
    <w:pPr>
      <w:tabs>
        <w:tab w:val="right" w:leader="dot" w:pos="9062"/>
      </w:tabs>
      <w:spacing w:after="100"/>
      <w:ind w:left="2520"/>
    </w:pPr>
    <w:rPr>
      <w:rFonts w:eastAsiaTheme="minorEastAsia"/>
      <w:lang w:eastAsia="fr-FR"/>
    </w:rPr>
  </w:style>
  <w:style w:type="paragraph" w:styleId="TM3">
    <w:name w:val="toc 3"/>
    <w:basedOn w:val="Normal"/>
    <w:next w:val="Normal"/>
    <w:autoRedefine/>
    <w:uiPriority w:val="39"/>
    <w:semiHidden/>
    <w:unhideWhenUsed/>
    <w:qFormat/>
    <w:rsid w:val="00332678"/>
    <w:pPr>
      <w:spacing w:after="100"/>
      <w:ind w:left="440"/>
    </w:pPr>
    <w:rPr>
      <w:rFonts w:eastAsiaTheme="minorEastAsia"/>
      <w:lang w:eastAsia="fr-FR"/>
    </w:rPr>
  </w:style>
  <w:style w:type="character" w:styleId="Lienhypertexte">
    <w:name w:val="Hyperlink"/>
    <w:basedOn w:val="Policepardfaut"/>
    <w:uiPriority w:val="99"/>
    <w:unhideWhenUsed/>
    <w:rsid w:val="00332678"/>
    <w:rPr>
      <w:color w:val="0000FF" w:themeColor="hyperlink"/>
      <w:u w:val="single"/>
    </w:rPr>
  </w:style>
  <w:style w:type="paragraph" w:styleId="Titre">
    <w:name w:val="Title"/>
    <w:basedOn w:val="Normal"/>
    <w:next w:val="Normal"/>
    <w:link w:val="TitreCar"/>
    <w:uiPriority w:val="10"/>
    <w:qFormat/>
    <w:rsid w:val="003326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2678"/>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uiPriority w:val="99"/>
    <w:semiHidden/>
    <w:unhideWhenUsed/>
    <w:rsid w:val="00DD404D"/>
    <w:rPr>
      <w:sz w:val="16"/>
      <w:szCs w:val="16"/>
    </w:rPr>
  </w:style>
  <w:style w:type="paragraph" w:styleId="Commentaire">
    <w:name w:val="annotation text"/>
    <w:basedOn w:val="Normal"/>
    <w:link w:val="CommentaireCar"/>
    <w:uiPriority w:val="99"/>
    <w:semiHidden/>
    <w:unhideWhenUsed/>
    <w:rsid w:val="00DD404D"/>
    <w:pPr>
      <w:spacing w:line="240" w:lineRule="auto"/>
    </w:pPr>
    <w:rPr>
      <w:sz w:val="20"/>
      <w:szCs w:val="20"/>
    </w:rPr>
  </w:style>
  <w:style w:type="character" w:customStyle="1" w:styleId="CommentaireCar">
    <w:name w:val="Commentaire Car"/>
    <w:basedOn w:val="Policepardfaut"/>
    <w:link w:val="Commentaire"/>
    <w:uiPriority w:val="99"/>
    <w:semiHidden/>
    <w:rsid w:val="00DD404D"/>
    <w:rPr>
      <w:sz w:val="20"/>
      <w:szCs w:val="20"/>
    </w:rPr>
  </w:style>
  <w:style w:type="paragraph" w:styleId="Objetducommentaire">
    <w:name w:val="annotation subject"/>
    <w:basedOn w:val="Commentaire"/>
    <w:next w:val="Commentaire"/>
    <w:link w:val="ObjetducommentaireCar"/>
    <w:uiPriority w:val="99"/>
    <w:semiHidden/>
    <w:unhideWhenUsed/>
    <w:rsid w:val="00DD404D"/>
    <w:rPr>
      <w:b/>
      <w:bCs/>
    </w:rPr>
  </w:style>
  <w:style w:type="character" w:customStyle="1" w:styleId="ObjetducommentaireCar">
    <w:name w:val="Objet du commentaire Car"/>
    <w:basedOn w:val="CommentaireCar"/>
    <w:link w:val="Objetducommentaire"/>
    <w:uiPriority w:val="99"/>
    <w:semiHidden/>
    <w:rsid w:val="00DD4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scon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EFD62-D224-4DF8-94EB-6BFB3A02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810</Words>
  <Characters>4455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Universite Francois-Rabelais</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Vibrac</dc:creator>
  <cp:lastModifiedBy>Dorothee Laillet</cp:lastModifiedBy>
  <cp:revision>3</cp:revision>
  <dcterms:created xsi:type="dcterms:W3CDTF">2018-11-23T17:35:00Z</dcterms:created>
  <dcterms:modified xsi:type="dcterms:W3CDTF">2019-04-24T15:34:00Z</dcterms:modified>
</cp:coreProperties>
</file>